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/>
      <w:r>
        <w:t xml:space="preserve">ПРИМЕНЕНИЕ И ОСОБЕННОСТИ  Светодиодный светильник SQUARE C предназначен для подсветки средних и малоэтажных зданий,  арт-объектов, светового оформления парков, использования в качестве ландшафтного и заливающего  освещения. Вторичная оптика позволяет экспл</w:t>
      </w:r>
      <w:r>
        <w:t xml:space="preserve">уатировать светильник максимально эффективно.  Световой поток может быть направлен узкими пучками света либо равномерно распределен по всей  поверхности.  КОНСТРУКЦИЯ И МАТЕРИАЛЫ  Светодиодный светильник SQUARE C крепится на потолочный регулируемый кронште</w:t>
      </w:r>
      <w:r>
        <w:t xml:space="preserve">йн, что делает его  универсальным инструментом для реализации самых смелых проектов по освещению</w:t>
      </w:r>
      <w:r/>
      <w:r/>
    </w:p>
    <w:p>
      <w:r>
        <w:rPr>
          <w:highlight w:val="none"/>
        </w:rPr>
      </w:r>
      <w:r>
        <w:rPr>
          <w:highlight w:val="none"/>
        </w:rPr>
      </w:r>
    </w:p>
    <w:tbl>
      <w:tblPr>
        <w:tblStyle w:val="623"/>
        <w:tblW w:w="0" w:type="auto"/>
        <w:tblLook w:val="04A0" w:firstRow="1" w:lastRow="0" w:firstColumn="1" w:lastColumn="0" w:noHBand="0" w:noVBand="1"/>
      </w:tblPr>
      <w:tblGrid>
        <w:gridCol w:w="3776"/>
        <w:gridCol w:w="3776"/>
        <w:gridCol w:w="3776"/>
      </w:tblGrid>
      <w:tr>
        <w:tblPrEx/>
        <w:trPr/>
        <w:tc>
          <w:tcPr>
            <w:tcW w:w="3776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0,9</w:t>
            </w:r>
            <w:r>
              <w:t xml:space="preserve">5</w:t>
            </w:r>
            <w:r>
              <w:rPr>
                <w:lang w:val="en-US"/>
              </w:rPr>
            </w:r>
          </w:p>
          <w:p>
            <w:r>
              <w:t xml:space="preserve">Коэффициент мощности</w:t>
            </w:r>
            <w:r/>
          </w:p>
        </w:tc>
        <w:tc>
          <w:tcPr>
            <w:tcW w:w="3776" w:type="dxa"/>
            <w:textDirection w:val="lrTb"/>
            <w:noWrap w:val="false"/>
          </w:tcPr>
          <w:p>
            <w:r>
              <w:rPr>
                <w:lang w:val="en-US"/>
              </w:rPr>
              <w:t xml:space="preserve">I</w:t>
            </w:r>
            <w:r/>
          </w:p>
          <w:p>
            <w:r>
              <w:t xml:space="preserve">Класс защиты от поражения электрическим током</w:t>
            </w:r>
            <w:r/>
          </w:p>
        </w:tc>
        <w:tc>
          <w:tcPr>
            <w:tcW w:w="3776" w:type="dxa"/>
            <w:textDirection w:val="lrTb"/>
            <w:noWrap w:val="false"/>
          </w:tcPr>
          <w:p>
            <w:r>
              <w:rPr>
                <w:lang w:val="en-US"/>
              </w:rPr>
              <w:t xml:space="preserve">IP</w:t>
            </w:r>
            <w:r>
              <w:t xml:space="preserve">6</w:t>
            </w:r>
            <w:r>
              <w:t xml:space="preserve">5</w:t>
            </w:r>
            <w:r/>
          </w:p>
          <w:p>
            <w:r>
              <w:t xml:space="preserve">Степень защиты от воздействия окружающей среды</w:t>
            </w:r>
            <w:r/>
          </w:p>
        </w:tc>
      </w:tr>
      <w:tr>
        <w:tblPrEx/>
        <w:trPr/>
        <w:tc>
          <w:tcPr>
            <w:tcW w:w="3776" w:type="dxa"/>
            <w:textDirection w:val="lrTb"/>
            <w:noWrap w:val="false"/>
          </w:tcPr>
          <w:p>
            <w:r>
              <w:t xml:space="preserve">70 </w:t>
            </w:r>
            <w:r/>
          </w:p>
          <w:p>
            <w:r>
              <w:t xml:space="preserve">Индекс цветопередачи</w:t>
            </w:r>
            <w:r/>
          </w:p>
        </w:tc>
        <w:tc>
          <w:tcPr>
            <w:tcW w:w="3776" w:type="dxa"/>
            <w:textDirection w:val="lrTb"/>
            <w:noWrap w:val="false"/>
          </w:tcPr>
          <w:p>
            <w:r>
              <w:t xml:space="preserve">УХЛ 1*</w:t>
            </w:r>
            <w:r/>
          </w:p>
          <w:p>
            <w:r>
              <w:t xml:space="preserve">от -45 до +40</w:t>
            </w:r>
            <w:r>
              <w:t xml:space="preserve"> °С</w:t>
            </w:r>
            <w:r/>
          </w:p>
          <w:p>
            <w:r>
              <w:t xml:space="preserve">Вид климатического исполнения</w:t>
            </w:r>
            <w:r/>
          </w:p>
        </w:tc>
        <w:tc>
          <w:tcPr>
            <w:tcW w:w="3776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p>
      <w:r>
        <w:t xml:space="preserve">потолочный</w:t>
      </w:r>
      <w:r/>
    </w:p>
    <w:tbl>
      <w:tblPr>
        <w:tblStyle w:val="623"/>
        <w:tblW w:w="109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1018"/>
        <w:gridCol w:w="1080"/>
        <w:gridCol w:w="1254"/>
        <w:gridCol w:w="1210"/>
        <w:gridCol w:w="738"/>
        <w:gridCol w:w="1277"/>
        <w:gridCol w:w="740"/>
        <w:gridCol w:w="1538"/>
      </w:tblGrid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Наименование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1018" w:type="dxa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Напряжение питающей сети, В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Мощность, Вт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1254" w:type="dxa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Цветовая температура, К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Световой поток, лм, от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КСС по ГОСТ Р 54350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Коэффициент пульсации светового потока, </w:t>
            </w:r>
            <w:r>
              <w:rPr>
                <w:rFonts w:cstheme="minorHAnsi"/>
                <w:sz w:val="18"/>
                <w:szCs w:val="18"/>
              </w:rPr>
              <w:t xml:space="preserve">% ,</w:t>
            </w:r>
            <w:r>
              <w:rPr>
                <w:rFonts w:cstheme="minorHAnsi"/>
                <w:sz w:val="18"/>
                <w:szCs w:val="18"/>
              </w:rPr>
              <w:t xml:space="preserve"> не более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740" w:type="dxa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Масса, кг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1538" w:type="dxa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Габаритные размеры,</w:t>
            </w:r>
            <w:r>
              <w:rPr>
                <w:rFonts w:cstheme="minorHAnsi"/>
                <w:sz w:val="18"/>
                <w:szCs w:val="18"/>
              </w:rPr>
            </w:r>
          </w:p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Д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x</w:t>
            </w:r>
            <w:r>
              <w:rPr>
                <w:rFonts w:cstheme="minorHAnsi"/>
                <w:sz w:val="18"/>
                <w:szCs w:val="18"/>
              </w:rPr>
              <w:t xml:space="preserve">ШxВ</w:t>
            </w:r>
            <w:r>
              <w:rPr>
                <w:rFonts w:cstheme="minorHAnsi"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tcW w:w="2126" w:type="dxa"/>
            <w:vAlign w:val="center"/>
            <w:textDirection w:val="lrTb"/>
            <w:noWrap w:val="false"/>
          </w:tcPr>
          <w:p>
            <w:pPr>
              <w:tabs>
                <w:tab w:val="left" w:pos="201" w:leader="none"/>
                <w:tab w:val="center" w:pos="401" w:leader="none"/>
              </w:tabs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SQUARE-S-90-W</w:t>
            </w:r>
            <w:r>
              <w:rPr>
                <w:rFonts w:cstheme="minorHAnsi"/>
                <w:sz w:val="18"/>
                <w:szCs w:val="18"/>
                <w:lang w:val="en-US"/>
              </w:rPr>
            </w:r>
          </w:p>
        </w:tc>
        <w:tc>
          <w:tcPr>
            <w:tcW w:w="1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1" w:leader="none"/>
                <w:tab w:val="center" w:pos="401" w:leader="none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220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9</w:t>
            </w:r>
            <w:r>
              <w:rPr>
                <w:rFonts w:cstheme="minorHAnsi"/>
                <w:sz w:val="18"/>
                <w:szCs w:val="18"/>
                <w:lang w:val="en-US"/>
              </w:rPr>
            </w:r>
          </w:p>
        </w:tc>
        <w:tc>
          <w:tcPr>
            <w:tcW w:w="12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2700-4000 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1125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Д90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12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3</w:t>
            </w:r>
            <w:r>
              <w:rPr>
                <w:rFonts w:cstheme="minorHAnsi"/>
                <w:sz w:val="18"/>
                <w:szCs w:val="18"/>
                <w:lang w:val="en-US"/>
              </w:rPr>
            </w:r>
          </w:p>
        </w:tc>
        <w:tc>
          <w:tcPr>
            <w:tcW w:w="7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1,2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15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119х106х115</w:t>
            </w:r>
            <w:r>
              <w:rPr>
                <w:rFonts w:cstheme="minorHAnsi"/>
                <w:sz w:val="18"/>
                <w:szCs w:val="18"/>
              </w:rPr>
            </w:r>
          </w:p>
        </w:tc>
      </w:tr>
      <w:tr>
        <w:tblPrEx/>
        <w:trPr>
          <w:trHeight w:val="56"/>
        </w:trPr>
        <w:tc>
          <w:tcPr>
            <w:tcW w:w="2126" w:type="dxa"/>
            <w:vAlign w:val="center"/>
            <w:textDirection w:val="lrTb"/>
            <w:noWrap w:val="false"/>
          </w:tcPr>
          <w:p>
            <w:pPr>
              <w:tabs>
                <w:tab w:val="left" w:pos="201" w:leader="none"/>
                <w:tab w:val="center" w:pos="401" w:leader="none"/>
              </w:tabs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SQUARE-M</w:t>
            </w:r>
            <w:r>
              <w:rPr>
                <w:sz w:val="18"/>
                <w:szCs w:val="18"/>
                <w:lang w:val="en-US"/>
              </w:rPr>
              <w:t xml:space="preserve">-90-W</w:t>
            </w:r>
            <w:r>
              <w:rPr>
                <w:rFonts w:cstheme="minorHAnsi"/>
                <w:sz w:val="18"/>
                <w:szCs w:val="18"/>
                <w:lang w:val="en-US"/>
              </w:rPr>
            </w:r>
          </w:p>
        </w:tc>
        <w:tc>
          <w:tcPr>
            <w:tcW w:w="10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</w:r>
            <w:r>
              <w:rPr>
                <w:rFonts w:cstheme="minorHAnsi"/>
                <w:sz w:val="18"/>
                <w:szCs w:val="18"/>
                <w:lang w:val="en-US"/>
              </w:rPr>
            </w:r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18</w:t>
            </w:r>
            <w:r>
              <w:rPr>
                <w:rFonts w:cstheme="minorHAnsi"/>
                <w:sz w:val="18"/>
                <w:szCs w:val="18"/>
                <w:lang w:val="en-US"/>
              </w:rPr>
            </w:r>
          </w:p>
        </w:tc>
        <w:tc>
          <w:tcPr>
            <w:tcW w:w="12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</w:r>
            <w:r>
              <w:rPr>
                <w:rFonts w:cstheme="minorHAnsi"/>
                <w:sz w:val="18"/>
                <w:szCs w:val="18"/>
                <w:lang w:val="en-US"/>
              </w:rPr>
            </w:r>
          </w:p>
        </w:tc>
        <w:tc>
          <w:tcPr>
            <w:tcW w:w="12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2250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Д90</w:t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</w:r>
            <w:r>
              <w:rPr>
                <w:rFonts w:cstheme="minorHAnsi"/>
                <w:sz w:val="18"/>
                <w:szCs w:val="18"/>
                <w:lang w:val="en-US"/>
              </w:rPr>
            </w:r>
          </w:p>
        </w:tc>
        <w:tc>
          <w:tcPr>
            <w:tcW w:w="7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</w:r>
            <w:r>
              <w:rPr>
                <w:rFonts w:cstheme="minorHAnsi"/>
                <w:sz w:val="18"/>
                <w:szCs w:val="18"/>
                <w:lang w:val="en-US"/>
              </w:rPr>
            </w:r>
          </w:p>
        </w:tc>
        <w:tc>
          <w:tcPr>
            <w:tcW w:w="153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</w:r>
            <w:r>
              <w:rPr>
                <w:rFonts w:cstheme="minorHAnsi"/>
                <w:sz w:val="18"/>
                <w:szCs w:val="18"/>
                <w:lang w:val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284" w:right="284" w:bottom="284" w:left="28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4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 Лаборатории</dc:creator>
  <cp:keywords/>
  <dc:description/>
  <cp:lastModifiedBy>Елена Мотренко</cp:lastModifiedBy>
  <cp:revision>12</cp:revision>
  <dcterms:created xsi:type="dcterms:W3CDTF">2024-06-06T13:36:00Z</dcterms:created>
  <dcterms:modified xsi:type="dcterms:W3CDTF">2025-04-03T15:38:38Z</dcterms:modified>
</cp:coreProperties>
</file>